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4189" w14:textId="77777777" w:rsidR="00964177" w:rsidRDefault="00926AC5">
      <w:pPr>
        <w:spacing w:before="69"/>
        <w:ind w:left="107"/>
        <w:rPr>
          <w:sz w:val="40"/>
        </w:rPr>
      </w:pPr>
      <w:r w:rsidRPr="001563CF">
        <w:rPr>
          <w:sz w:val="40"/>
        </w:rPr>
        <w:t>Publikation</w:t>
      </w:r>
      <w:r w:rsidR="001563CF">
        <w:rPr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3118BAB8" w:rsidR="001563CF" w:rsidRPr="0030649C" w:rsidRDefault="008053F6" w:rsidP="00B7309E">
      <w:pPr>
        <w:spacing w:before="69"/>
        <w:ind w:left="107"/>
        <w:jc w:val="both"/>
        <w:rPr>
          <w:sz w:val="19"/>
          <w:szCs w:val="19"/>
        </w:rPr>
      </w:pPr>
      <w:r>
        <w:rPr>
          <w:sz w:val="19"/>
          <w:szCs w:val="19"/>
        </w:rPr>
        <w:t>Hier finden Sie a</w:t>
      </w:r>
      <w:r w:rsidR="001563CF" w:rsidRPr="0030649C">
        <w:rPr>
          <w:sz w:val="19"/>
          <w:szCs w:val="19"/>
        </w:rPr>
        <w:t>lle Veröffentlichungen des VAH, der Desinfektionsmittel-Kommission und der Arbeitsgruppen</w:t>
      </w:r>
      <w:r>
        <w:rPr>
          <w:sz w:val="19"/>
          <w:szCs w:val="19"/>
        </w:rPr>
        <w:t xml:space="preserve"> einschließlich der </w:t>
      </w:r>
      <w:proofErr w:type="spellStart"/>
      <w:r>
        <w:rPr>
          <w:sz w:val="19"/>
          <w:szCs w:val="19"/>
        </w:rPr>
        <w:t>Fragen&amp;Antworten</w:t>
      </w:r>
      <w:proofErr w:type="spellEnd"/>
      <w:r w:rsidR="001563CF" w:rsidRPr="0030649C">
        <w:rPr>
          <w:sz w:val="19"/>
          <w:szCs w:val="19"/>
        </w:rPr>
        <w:t xml:space="preserve"> </w:t>
      </w:r>
      <w:r w:rsidR="004F3246">
        <w:rPr>
          <w:sz w:val="19"/>
          <w:szCs w:val="19"/>
        </w:rPr>
        <w:t>u</w:t>
      </w:r>
      <w:r w:rsidR="00B7309E">
        <w:rPr>
          <w:sz w:val="19"/>
          <w:szCs w:val="19"/>
        </w:rPr>
        <w:t xml:space="preserve">nd Berufsbilder der angewandten </w:t>
      </w:r>
      <w:r w:rsidR="004F3246">
        <w:rPr>
          <w:sz w:val="19"/>
          <w:szCs w:val="19"/>
        </w:rPr>
        <w:t xml:space="preserve">Hygiene </w:t>
      </w:r>
      <w:r w:rsidR="001563CF" w:rsidRPr="0030649C">
        <w:rPr>
          <w:sz w:val="19"/>
          <w:szCs w:val="19"/>
        </w:rPr>
        <w:t xml:space="preserve">in </w:t>
      </w:r>
      <w:r w:rsidR="00CC7931">
        <w:rPr>
          <w:sz w:val="19"/>
          <w:szCs w:val="19"/>
        </w:rPr>
        <w:t xml:space="preserve">absteigender </w:t>
      </w:r>
      <w:r w:rsidR="001563CF" w:rsidRPr="0030649C">
        <w:rPr>
          <w:sz w:val="19"/>
          <w:szCs w:val="19"/>
        </w:rPr>
        <w:t>chronologischer Reihenfolge seit 2003.</w:t>
      </w:r>
    </w:p>
    <w:p w14:paraId="10275846" w14:textId="6FE4FEAB" w:rsidR="0030649C" w:rsidRDefault="00B7309E" w:rsidP="00B7309E">
      <w:pPr>
        <w:spacing w:before="69"/>
        <w:ind w:left="107"/>
        <w:jc w:val="both"/>
        <w:rPr>
          <w:sz w:val="19"/>
          <w:szCs w:val="19"/>
        </w:rPr>
      </w:pPr>
      <w:r>
        <w:rPr>
          <w:sz w:val="19"/>
          <w:szCs w:val="19"/>
        </w:rPr>
        <w:t>Die Beiträge sind im</w:t>
      </w:r>
      <w:r w:rsidR="008053F6">
        <w:rPr>
          <w:sz w:val="19"/>
          <w:szCs w:val="19"/>
        </w:rPr>
        <w:t xml:space="preserve"> Vancouver-Style und </w:t>
      </w:r>
      <w:r>
        <w:rPr>
          <w:sz w:val="19"/>
          <w:szCs w:val="19"/>
        </w:rPr>
        <w:t>mit der</w:t>
      </w:r>
      <w:r w:rsidR="0030649C">
        <w:rPr>
          <w:sz w:val="19"/>
          <w:szCs w:val="19"/>
        </w:rPr>
        <w:t xml:space="preserve"> </w:t>
      </w:r>
      <w:r w:rsidR="0030649C" w:rsidRPr="0030649C">
        <w:rPr>
          <w:sz w:val="19"/>
          <w:szCs w:val="19"/>
        </w:rPr>
        <w:t>Quelle der Erstveröffe</w:t>
      </w:r>
      <w:r w:rsidR="0030649C">
        <w:rPr>
          <w:sz w:val="19"/>
          <w:szCs w:val="19"/>
        </w:rPr>
        <w:t>ntlichung</w:t>
      </w:r>
      <w:r>
        <w:rPr>
          <w:sz w:val="19"/>
          <w:szCs w:val="19"/>
        </w:rPr>
        <w:t xml:space="preserve"> zitiert</w:t>
      </w:r>
      <w:r w:rsidR="0030649C">
        <w:rPr>
          <w:sz w:val="19"/>
          <w:szCs w:val="19"/>
        </w:rPr>
        <w:t>.</w:t>
      </w:r>
      <w:r w:rsidR="008053F6">
        <w:rPr>
          <w:sz w:val="19"/>
          <w:szCs w:val="19"/>
        </w:rPr>
        <w:t xml:space="preserve"> Alle Artikel seit 2007 sind im Download-Bereich unter „Fachartikel“ abrufbar.</w:t>
      </w:r>
    </w:p>
    <w:p w14:paraId="5072363E" w14:textId="77777777" w:rsidR="008053F6" w:rsidRPr="0030649C" w:rsidRDefault="008053F6">
      <w:pPr>
        <w:spacing w:before="69"/>
        <w:ind w:left="107"/>
        <w:rPr>
          <w:sz w:val="19"/>
          <w:szCs w:val="19"/>
        </w:rPr>
      </w:pPr>
    </w:p>
    <w:p w14:paraId="27D6C926" w14:textId="7F8A7E45" w:rsidR="00F80976" w:rsidRPr="00C2350D" w:rsidRDefault="00F80976" w:rsidP="00F80976">
      <w:pPr>
        <w:pStyle w:val="berschrift1"/>
        <w:spacing w:before="289"/>
      </w:pPr>
      <w:r w:rsidRPr="00C2350D">
        <w:rPr>
          <w:w w:val="105"/>
        </w:rPr>
        <w:t>2019</w:t>
      </w:r>
    </w:p>
    <w:p w14:paraId="6D00B12A" w14:textId="63ADD0D4" w:rsidR="00F80976" w:rsidRPr="00C2350D" w:rsidRDefault="00F80976" w:rsidP="00F80976">
      <w:pPr>
        <w:pStyle w:val="Textkrper"/>
        <w:spacing w:before="12" w:line="247" w:lineRule="auto"/>
        <w:rPr>
          <w:w w:val="105"/>
        </w:rPr>
      </w:pPr>
    </w:p>
    <w:p w14:paraId="6808C025" w14:textId="36B030E8" w:rsidR="00C2350D" w:rsidRPr="00C2350D" w:rsidRDefault="00C2350D" w:rsidP="00C2350D">
      <w:pPr>
        <w:pStyle w:val="berschrift1"/>
        <w:rPr>
          <w:b w:val="0"/>
          <w:bCs w:val="0"/>
          <w:sz w:val="48"/>
          <w:szCs w:val="48"/>
        </w:rPr>
      </w:pPr>
      <w:r w:rsidRPr="00C2350D">
        <w:rPr>
          <w:rStyle w:val="title-text"/>
          <w:b w:val="0"/>
          <w:bCs w:val="0"/>
          <w:lang w:val="de-DE"/>
        </w:rPr>
        <w:t xml:space="preserve">Gemein S, Gebel J, Christiansen C et al. </w:t>
      </w:r>
      <w:r w:rsidRPr="00C2350D">
        <w:rPr>
          <w:rStyle w:val="title-text"/>
          <w:b w:val="0"/>
          <w:bCs w:val="0"/>
        </w:rPr>
        <w:t xml:space="preserve">Interlaboratory reproducibility of a test method following 4-field test methodology to evaluate the susceptibility of </w:t>
      </w:r>
      <w:r w:rsidRPr="00C2350D">
        <w:rPr>
          <w:rStyle w:val="Hervorhebung"/>
          <w:b w:val="0"/>
          <w:bCs w:val="0"/>
        </w:rPr>
        <w:t>Clostridium difficile</w:t>
      </w:r>
      <w:r w:rsidRPr="00C2350D">
        <w:rPr>
          <w:rStyle w:val="title-text"/>
          <w:b w:val="0"/>
          <w:bCs w:val="0"/>
        </w:rPr>
        <w:t xml:space="preserve"> spores</w:t>
      </w:r>
      <w:r w:rsidRPr="00C2350D">
        <w:rPr>
          <w:rStyle w:val="title-text"/>
          <w:b w:val="0"/>
          <w:bCs w:val="0"/>
        </w:rPr>
        <w:t xml:space="preserve">. </w:t>
      </w:r>
      <w:r w:rsidRPr="00C2350D">
        <w:rPr>
          <w:b w:val="0"/>
          <w:bCs w:val="0"/>
          <w:w w:val="105"/>
          <w:lang w:val="de-DE"/>
        </w:rPr>
        <w:t xml:space="preserve">J </w:t>
      </w:r>
      <w:proofErr w:type="spellStart"/>
      <w:r w:rsidRPr="00C2350D">
        <w:rPr>
          <w:b w:val="0"/>
          <w:bCs w:val="0"/>
          <w:w w:val="105"/>
          <w:lang w:val="de-DE"/>
        </w:rPr>
        <w:t>Hosp</w:t>
      </w:r>
      <w:proofErr w:type="spellEnd"/>
      <w:r w:rsidRPr="00C2350D">
        <w:rPr>
          <w:b w:val="0"/>
          <w:bCs w:val="0"/>
          <w:w w:val="105"/>
          <w:lang w:val="de-DE"/>
        </w:rPr>
        <w:t xml:space="preserve"> </w:t>
      </w:r>
      <w:proofErr w:type="spellStart"/>
      <w:r w:rsidRPr="00C2350D">
        <w:rPr>
          <w:b w:val="0"/>
          <w:bCs w:val="0"/>
          <w:w w:val="105"/>
          <w:lang w:val="de-DE"/>
        </w:rPr>
        <w:t>Infect</w:t>
      </w:r>
      <w:proofErr w:type="spellEnd"/>
      <w:r w:rsidRPr="00C2350D">
        <w:rPr>
          <w:b w:val="0"/>
          <w:bCs w:val="0"/>
          <w:w w:val="105"/>
          <w:lang w:val="de-DE"/>
        </w:rPr>
        <w:t xml:space="preserve"> 2019</w:t>
      </w:r>
      <w:r w:rsidRPr="00C2350D">
        <w:rPr>
          <w:rStyle w:val="title-text"/>
          <w:b w:val="0"/>
          <w:bCs w:val="0"/>
        </w:rPr>
        <w:t>;103(1):78-84.</w:t>
      </w:r>
    </w:p>
    <w:p w14:paraId="1E314855" w14:textId="77777777" w:rsidR="00C2350D" w:rsidRPr="00C2350D" w:rsidRDefault="00C2350D" w:rsidP="00F80976">
      <w:pPr>
        <w:pStyle w:val="Textkrper"/>
        <w:spacing w:before="12" w:line="247" w:lineRule="auto"/>
        <w:rPr>
          <w:w w:val="105"/>
        </w:rPr>
      </w:pPr>
    </w:p>
    <w:p w14:paraId="75FBED30" w14:textId="39BAF0A1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r>
        <w:rPr>
          <w:w w:val="105"/>
          <w:lang w:val="de-DE"/>
        </w:rPr>
        <w:t xml:space="preserve">Verbund für Angewandte Hygiene, Gesellschaft für Virologie. Gemeinsame Mitteilung. Gesellschaft für Virologie ist Mitglied im Verbund für Angewandte Hygiene.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45292AB8" w14:textId="77777777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3048900" w14:textId="5008A056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 xml:space="preserve">. Desinfektionsmittel-Kommission im VAH – Fragen und Antworten. </w:t>
      </w:r>
      <w:r>
        <w:rPr>
          <w:w w:val="105"/>
          <w:lang w:val="de-DE"/>
        </w:rPr>
        <w:t xml:space="preserve">Dekontamination von </w:t>
      </w:r>
      <w:proofErr w:type="spellStart"/>
      <w:r>
        <w:rPr>
          <w:w w:val="105"/>
          <w:lang w:val="de-DE"/>
        </w:rPr>
        <w:t>Kathetereintrittspforten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143–144.</w:t>
      </w:r>
    </w:p>
    <w:p w14:paraId="542F88DC" w14:textId="72188DCB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</w:p>
    <w:p w14:paraId="3079864D" w14:textId="429C4B99" w:rsidR="008D7098" w:rsidRDefault="008D7098" w:rsidP="008D7098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Tatzel</w:t>
      </w:r>
      <w:proofErr w:type="spellEnd"/>
      <w:r>
        <w:rPr>
          <w:w w:val="105"/>
          <w:lang w:val="de-DE"/>
        </w:rPr>
        <w:t xml:space="preserve"> J, Heeg P</w:t>
      </w:r>
      <w:r w:rsidRPr="001563CF">
        <w:rPr>
          <w:w w:val="105"/>
          <w:lang w:val="de-DE"/>
        </w:rPr>
        <w:t xml:space="preserve">. Desinfektionsmittel-Kommission im VAH – Fragen und Antworten. </w:t>
      </w:r>
      <w:r>
        <w:rPr>
          <w:w w:val="105"/>
          <w:lang w:val="de-DE"/>
        </w:rPr>
        <w:t>Verwendung von Desinfektionsmitteln für Kinder</w:t>
      </w:r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;4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>(</w:t>
      </w:r>
      <w:r>
        <w:rPr>
          <w:w w:val="105"/>
          <w:lang w:val="de-DE"/>
        </w:rPr>
        <w:t>9</w:t>
      </w:r>
      <w:r w:rsidRPr="001563CF">
        <w:rPr>
          <w:w w:val="105"/>
          <w:lang w:val="de-DE"/>
        </w:rPr>
        <w:t>):</w:t>
      </w:r>
      <w:r>
        <w:rPr>
          <w:w w:val="105"/>
          <w:lang w:val="de-DE"/>
        </w:rPr>
        <w:t>141–142.</w:t>
      </w:r>
    </w:p>
    <w:p w14:paraId="010D0F1E" w14:textId="6D099FE7" w:rsidR="00C2350D" w:rsidRDefault="00C2350D" w:rsidP="008D7098">
      <w:pPr>
        <w:pStyle w:val="Textkrper"/>
        <w:spacing w:line="259" w:lineRule="auto"/>
        <w:rPr>
          <w:w w:val="105"/>
          <w:lang w:val="de-DE"/>
        </w:rPr>
      </w:pPr>
    </w:p>
    <w:p w14:paraId="61FB38AB" w14:textId="184CAF8D" w:rsidR="00C2350D" w:rsidRDefault="00C2350D" w:rsidP="00C2350D">
      <w:pPr>
        <w:pStyle w:val="Textkrper"/>
        <w:spacing w:line="259" w:lineRule="auto"/>
        <w:rPr>
          <w:w w:val="105"/>
        </w:rPr>
      </w:pPr>
      <w:r w:rsidRPr="00C2350D">
        <w:rPr>
          <w:w w:val="105"/>
          <w:lang w:val="de-DE"/>
        </w:rPr>
        <w:t xml:space="preserve">Gebel J, Gemein S, Kampf G et al. </w:t>
      </w:r>
      <w:r w:rsidRPr="00C2350D">
        <w:rPr>
          <w:w w:val="105"/>
        </w:rPr>
        <w:t>I</w:t>
      </w:r>
      <w:r w:rsidRPr="00C2350D">
        <w:rPr>
          <w:w w:val="105"/>
        </w:rPr>
        <w:t>sopropanol at 60% and at 70% are effective against ‘isopropanol-tolerant’ Enterococcus faecium</w:t>
      </w:r>
      <w:r w:rsidRPr="00C2350D">
        <w:rPr>
          <w:w w:val="105"/>
        </w:rPr>
        <w:t>.</w:t>
      </w:r>
      <w:r>
        <w:rPr>
          <w:w w:val="105"/>
        </w:rPr>
        <w:t xml:space="preserve">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</w:t>
      </w:r>
      <w:r>
        <w:rPr>
          <w:w w:val="105"/>
        </w:rPr>
        <w:t>;103(1</w:t>
      </w:r>
      <w:proofErr w:type="gramStart"/>
      <w:r>
        <w:rPr>
          <w:w w:val="105"/>
        </w:rPr>
        <w:t>):e</w:t>
      </w:r>
      <w:proofErr w:type="gramEnd"/>
      <w:r>
        <w:rPr>
          <w:w w:val="105"/>
        </w:rPr>
        <w:t>88–e91.</w:t>
      </w:r>
    </w:p>
    <w:p w14:paraId="50F76DEB" w14:textId="3F40A4F7" w:rsidR="00C2350D" w:rsidRDefault="00C2350D" w:rsidP="00C2350D">
      <w:pPr>
        <w:pStyle w:val="Textkrper"/>
        <w:spacing w:line="259" w:lineRule="auto"/>
        <w:rPr>
          <w:w w:val="105"/>
        </w:rPr>
      </w:pPr>
    </w:p>
    <w:p w14:paraId="2E057458" w14:textId="030ED077" w:rsidR="00C2350D" w:rsidRPr="00C2350D" w:rsidRDefault="00C2350D" w:rsidP="00C2350D">
      <w:pPr>
        <w:pStyle w:val="Textkrper"/>
        <w:spacing w:before="12" w:line="247" w:lineRule="auto"/>
        <w:rPr>
          <w:w w:val="105"/>
          <w:lang w:val="de-DE"/>
        </w:rPr>
      </w:pPr>
      <w:r w:rsidRPr="00C2350D">
        <w:rPr>
          <w:w w:val="105"/>
          <w:lang w:val="de-DE"/>
        </w:rPr>
        <w:t xml:space="preserve">Gemein S, Gebel J, Roques C et al. </w:t>
      </w:r>
      <w:r w:rsidRPr="00C2350D">
        <w:rPr>
          <w:w w:val="105"/>
        </w:rPr>
        <w:t xml:space="preserve">Practical considerations for infection prevention of near-patient surfaces: validation of an alternative polyvinyl chloride carrier in the 4-field test EN 16615:2015. </w:t>
      </w:r>
      <w:r w:rsidRPr="00C2350D">
        <w:rPr>
          <w:w w:val="105"/>
          <w:lang w:val="de-DE"/>
        </w:rPr>
        <w:t xml:space="preserve">J </w:t>
      </w:r>
      <w:proofErr w:type="spellStart"/>
      <w:r w:rsidRPr="00C2350D">
        <w:rPr>
          <w:w w:val="105"/>
          <w:lang w:val="de-DE"/>
        </w:rPr>
        <w:t>Hosp</w:t>
      </w:r>
      <w:proofErr w:type="spellEnd"/>
      <w:r w:rsidRPr="00C2350D">
        <w:rPr>
          <w:w w:val="105"/>
          <w:lang w:val="de-DE"/>
        </w:rPr>
        <w:t xml:space="preserve"> </w:t>
      </w:r>
      <w:proofErr w:type="spellStart"/>
      <w:r w:rsidRPr="00C2350D">
        <w:rPr>
          <w:w w:val="105"/>
          <w:lang w:val="de-DE"/>
        </w:rPr>
        <w:t>Infect</w:t>
      </w:r>
      <w:proofErr w:type="spellEnd"/>
      <w:r w:rsidRPr="00C2350D">
        <w:rPr>
          <w:w w:val="105"/>
          <w:lang w:val="de-DE"/>
        </w:rPr>
        <w:t xml:space="preserve"> 2019;103(1</w:t>
      </w:r>
      <w:proofErr w:type="gramStart"/>
      <w:r w:rsidRPr="00C2350D">
        <w:rPr>
          <w:w w:val="105"/>
          <w:lang w:val="de-DE"/>
        </w:rPr>
        <w:t>):e</w:t>
      </w:r>
      <w:proofErr w:type="gramEnd"/>
      <w:r w:rsidRPr="00C2350D">
        <w:rPr>
          <w:w w:val="105"/>
          <w:lang w:val="de-DE"/>
        </w:rPr>
        <w:t>118–e119.</w:t>
      </w:r>
    </w:p>
    <w:p w14:paraId="79ADB870" w14:textId="77777777" w:rsidR="008D7098" w:rsidRPr="00C2350D" w:rsidRDefault="008D7098" w:rsidP="008D7098">
      <w:pPr>
        <w:pStyle w:val="Textkrper"/>
        <w:spacing w:line="259" w:lineRule="auto"/>
        <w:ind w:left="0"/>
      </w:pPr>
    </w:p>
    <w:p w14:paraId="6912BFCF" w14:textId="76188BFE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VAH. Mitteilung. Verkürzung der Einwirkzeit der hygienischen Händedesinfektion auf 15 Sekunden.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58D7B214" w14:textId="77777777" w:rsidR="008D7098" w:rsidRDefault="008D7098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769C6670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77777777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6D5ADA57" w14:textId="77777777" w:rsidR="00C2350D" w:rsidRPr="00C2350D" w:rsidRDefault="00C2350D" w:rsidP="00C2350D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2B3B952E" w14:textId="6E4A4B7B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 w:rsidR="008D7098">
        <w:rPr>
          <w:i/>
          <w:w w:val="105"/>
          <w:lang w:val="de-DE"/>
        </w:rPr>
        <w:t xml:space="preserve"> sowie Leserbriefe zur Mitteilung mit Antworten der Arbeitsgruppe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77777777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3CAE0CC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414BBC87" w14:textId="6A427B3A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6854A143" w14:textId="53AE2E39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C302376" w14:textId="77777777" w:rsidR="008D7098" w:rsidRDefault="008D7098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86623BE" w:rsidR="00964177" w:rsidRPr="001563CF" w:rsidRDefault="00926AC5" w:rsidP="001563CF">
      <w:pPr>
        <w:pStyle w:val="Textkrper"/>
        <w:spacing w:before="12" w:line="247" w:lineRule="auto"/>
        <w:rPr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77777777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77F53CFA" w14:textId="77777777" w:rsidR="00CC7931" w:rsidRPr="001563CF" w:rsidRDefault="00CC7931" w:rsidP="00CC7931">
      <w:pPr>
        <w:pStyle w:val="Textkrper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6314AD1" w14:textId="36F71DFE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41465CA2" w14:textId="77777777" w:rsidR="00105742" w:rsidRDefault="00105742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lastRenderedPageBreak/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3DCD4F24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0861F9CA" w14:textId="77777777" w:rsidR="008D7098" w:rsidRPr="00CC7931" w:rsidRDefault="008D7098" w:rsidP="00CC7931">
      <w:pPr>
        <w:pStyle w:val="Textkrper"/>
        <w:spacing w:line="252" w:lineRule="auto"/>
        <w:rPr>
          <w:lang w:val="de-DE"/>
        </w:rPr>
      </w:pPr>
    </w:p>
    <w:p w14:paraId="46A26735" w14:textId="77777777" w:rsidR="00182575" w:rsidRDefault="00182575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587EC2D0" w14:textId="77777777" w:rsidR="00964177" w:rsidRPr="001563CF" w:rsidRDefault="00926AC5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12049DAD" w14:textId="77777777" w:rsidR="008053F6" w:rsidRPr="001563CF" w:rsidRDefault="008053F6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44C77286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281620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89AC791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Arbeitsgruppe „Angewa</w:t>
      </w:r>
      <w:r w:rsidR="008053F6">
        <w:rPr>
          <w:w w:val="105"/>
          <w:lang w:val="de-DE"/>
        </w:rPr>
        <w:t>ndte Desinfektion“ im VAH</w:t>
      </w:r>
      <w:r w:rsidRPr="001563CF">
        <w:rPr>
          <w:w w:val="105"/>
          <w:lang w:val="de-DE"/>
        </w:rPr>
        <w:t xml:space="preserve">. Zur Prüfmethodik und Anwendung viruswirksamer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(11):467-469.</w:t>
      </w:r>
    </w:p>
    <w:p w14:paraId="54E6C66A" w14:textId="77777777" w:rsidR="00964177" w:rsidRPr="001563CF" w:rsidRDefault="00964177">
      <w:pPr>
        <w:pStyle w:val="Textkrper"/>
        <w:spacing w:before="9"/>
        <w:ind w:left="0"/>
        <w:rPr>
          <w:lang w:val="de-DE"/>
        </w:rPr>
      </w:pPr>
    </w:p>
    <w:p w14:paraId="3456A7F3" w14:textId="77777777" w:rsidR="00964177" w:rsidRPr="001563CF" w:rsidRDefault="00926AC5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Methoden und Anforderungen zur VAH-Zertifizierung von chemischen Desinfektionsverfahren.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 GmbH: Wiesbaden. Stand 2.4.2015.</w:t>
      </w:r>
    </w:p>
    <w:p w14:paraId="7B75EE24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763DC540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r w:rsidR="008053F6" w:rsidRPr="001563CF">
        <w:rPr>
          <w:w w:val="105"/>
          <w:lang w:val="de-DE"/>
        </w:rPr>
        <w:t>Stand 1.4.201</w:t>
      </w:r>
      <w:r w:rsidR="008053F6">
        <w:rPr>
          <w:w w:val="105"/>
          <w:lang w:val="de-DE"/>
        </w:rPr>
        <w:t>5</w:t>
      </w:r>
      <w:r w:rsidR="008053F6" w:rsidRPr="001563CF">
        <w:rPr>
          <w:w w:val="105"/>
          <w:lang w:val="de-DE"/>
        </w:rPr>
        <w:t xml:space="preserve">. </w:t>
      </w:r>
      <w:proofErr w:type="spellStart"/>
      <w:r w:rsidR="008053F6"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7777777" w:rsidR="00964177" w:rsidRPr="001563CF" w:rsidRDefault="00926AC5">
      <w:pPr>
        <w:pStyle w:val="Textkrper"/>
        <w:spacing w:before="1"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mittels Keimträgern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lastRenderedPageBreak/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453EE4A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77777777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77777777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68940A52" w14:textId="77777777" w:rsidR="00713297" w:rsidRPr="001563CF" w:rsidRDefault="00713297" w:rsidP="00713297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125CD6CA" w14:textId="435C9801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52404072" w14:textId="77777777" w:rsidR="00105742" w:rsidRDefault="00105742" w:rsidP="00713297">
      <w:pPr>
        <w:pStyle w:val="Textkrper"/>
        <w:spacing w:line="252" w:lineRule="auto"/>
        <w:rPr>
          <w:w w:val="105"/>
          <w:lang w:val="de-DE"/>
        </w:rPr>
      </w:pPr>
      <w:bookmarkStart w:id="0" w:name="_GoBack"/>
      <w:bookmarkEnd w:id="0"/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lastRenderedPageBreak/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722FDBA2" w14:textId="77777777" w:rsidR="004F3246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zum/zur Facharzt/-ärztin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61BBB21D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lastRenderedPageBreak/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8ACFF70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173B172F" w14:textId="77777777" w:rsidR="00AA736C" w:rsidRDefault="00AA736C" w:rsidP="008D7098">
      <w:pPr>
        <w:pStyle w:val="Textkrper"/>
        <w:spacing w:before="7"/>
        <w:ind w:left="0"/>
        <w:rPr>
          <w:lang w:val="de-DE"/>
        </w:rPr>
      </w:pPr>
    </w:p>
    <w:p w14:paraId="6860E81C" w14:textId="77777777" w:rsidR="00713297" w:rsidRDefault="00713297" w:rsidP="00CC7931">
      <w:pPr>
        <w:pStyle w:val="Textkrper"/>
        <w:spacing w:before="7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333EA6B2" w:rsidR="00CC7931" w:rsidRDefault="00CC7931" w:rsidP="00CC7931">
      <w:pPr>
        <w:pStyle w:val="Textkrper"/>
        <w:spacing w:before="7"/>
        <w:rPr>
          <w:lang w:val="de-DE"/>
        </w:rPr>
      </w:pPr>
    </w:p>
    <w:p w14:paraId="058DBBA1" w14:textId="77777777" w:rsidR="008D7098" w:rsidRPr="001563CF" w:rsidRDefault="008D709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37018F4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E7A3972" w14:textId="77777777" w:rsidR="00713297" w:rsidRDefault="00713297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63D85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437FCCB2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18DC9385" w14:textId="2963D579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6014F75" w14:textId="2B5226CE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9A76483" w14:textId="75C7A77D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7716591" w14:textId="77777777" w:rsidR="008D7098" w:rsidRDefault="008D709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headerReference w:type="default" r:id="rId6"/>
      <w:pgSz w:w="11910" w:h="16840"/>
      <w:pgMar w:top="1340" w:right="13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7FFC4" w14:textId="77777777" w:rsidR="005E67B0" w:rsidRDefault="005E67B0" w:rsidP="008D7098">
      <w:r>
        <w:separator/>
      </w:r>
    </w:p>
  </w:endnote>
  <w:endnote w:type="continuationSeparator" w:id="0">
    <w:p w14:paraId="4975E00C" w14:textId="77777777" w:rsidR="005E67B0" w:rsidRDefault="005E67B0" w:rsidP="008D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2337" w14:textId="77777777" w:rsidR="005E67B0" w:rsidRDefault="005E67B0" w:rsidP="008D7098">
      <w:r>
        <w:separator/>
      </w:r>
    </w:p>
  </w:footnote>
  <w:footnote w:type="continuationSeparator" w:id="0">
    <w:p w14:paraId="0686825E" w14:textId="77777777" w:rsidR="005E67B0" w:rsidRDefault="005E67B0" w:rsidP="008D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403F" w14:textId="541FBE46" w:rsidR="008D7098" w:rsidRPr="008D7098" w:rsidRDefault="008D7098">
    <w:pPr>
      <w:pStyle w:val="Kopfzeil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  </w:t>
    </w:r>
    <w:r w:rsidRPr="008D7098">
      <w:rPr>
        <w:rFonts w:ascii="Calibri" w:hAnsi="Calibri" w:cs="Calibri"/>
        <w:sz w:val="20"/>
        <w:szCs w:val="20"/>
      </w:rPr>
      <w:t>Publikationsverzeichnis VAH, Stand September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B59FF"/>
    <w:rsid w:val="000D6BDA"/>
    <w:rsid w:val="00105742"/>
    <w:rsid w:val="001563CF"/>
    <w:rsid w:val="00182575"/>
    <w:rsid w:val="0030649C"/>
    <w:rsid w:val="00315869"/>
    <w:rsid w:val="004D4616"/>
    <w:rsid w:val="004F3246"/>
    <w:rsid w:val="005A1418"/>
    <w:rsid w:val="005E67B0"/>
    <w:rsid w:val="0069304D"/>
    <w:rsid w:val="00700CCE"/>
    <w:rsid w:val="00713297"/>
    <w:rsid w:val="007F3BDF"/>
    <w:rsid w:val="008053F6"/>
    <w:rsid w:val="008D7098"/>
    <w:rsid w:val="00926AC5"/>
    <w:rsid w:val="00964177"/>
    <w:rsid w:val="009A0E92"/>
    <w:rsid w:val="009D52B2"/>
    <w:rsid w:val="00A022B5"/>
    <w:rsid w:val="00AA736C"/>
    <w:rsid w:val="00B7309E"/>
    <w:rsid w:val="00B8493D"/>
    <w:rsid w:val="00BE46FC"/>
    <w:rsid w:val="00C2350D"/>
    <w:rsid w:val="00C41F59"/>
    <w:rsid w:val="00C50B78"/>
    <w:rsid w:val="00C66D08"/>
    <w:rsid w:val="00C855F3"/>
    <w:rsid w:val="00CC1C12"/>
    <w:rsid w:val="00CC7931"/>
    <w:rsid w:val="00D100B1"/>
    <w:rsid w:val="00D51FF3"/>
    <w:rsid w:val="00DC55EA"/>
    <w:rsid w:val="00E55886"/>
    <w:rsid w:val="00E81CDA"/>
    <w:rsid w:val="00F2745C"/>
    <w:rsid w:val="00F3393E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5867B268-1898-C445-8D1A-F60C8B82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D7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09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itle-text">
    <w:name w:val="title-text"/>
    <w:basedOn w:val="Absatz-Standardschriftart"/>
    <w:rsid w:val="00C2350D"/>
  </w:style>
  <w:style w:type="character" w:styleId="Hervorhebung">
    <w:name w:val="Emphasis"/>
    <w:basedOn w:val="Absatz-Standardschriftart"/>
    <w:uiPriority w:val="20"/>
    <w:qFormat/>
    <w:rsid w:val="00C2350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2350D"/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2731</Words>
  <Characters>17211</Characters>
  <Application>Microsoft Office Word</Application>
  <DocSecurity>0</DocSecurity>
  <Lines>143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19903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4</cp:revision>
  <cp:lastPrinted>2019-10-01T08:43:00Z</cp:lastPrinted>
  <dcterms:created xsi:type="dcterms:W3CDTF">2019-10-01T08:43:00Z</dcterms:created>
  <dcterms:modified xsi:type="dcterms:W3CDTF">2019-10-01T10:04:00Z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